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E6E2" w14:textId="77777777" w:rsidR="00491A7A" w:rsidRDefault="00491A7A" w:rsidP="00491A7A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69699" wp14:editId="493C0B34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1DDC7" w14:textId="77777777" w:rsidR="00491A7A" w:rsidRPr="00A338CF" w:rsidRDefault="00491A7A" w:rsidP="00491A7A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69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u2TNXt4AAAAKAQAADwAAAAAAAAAAAAAAAAB3BAAAZHJzL2Rvd25yZXYueG1s&#10;UEsFBgAAAAAEAAQA8wAAAIIFAAAAAA==&#10;" filled="f" stroked="f">
                <v:textbox style="mso-fit-shape-to-text:t">
                  <w:txbxContent>
                    <w:p w14:paraId="6491DDC7" w14:textId="77777777" w:rsidR="00491A7A" w:rsidRPr="00A338CF" w:rsidRDefault="00491A7A" w:rsidP="00491A7A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Curriculum Design at Harthill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F869665" wp14:editId="09447404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2237055" wp14:editId="44992D2B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1E175B13" w14:textId="77777777" w:rsidR="00491A7A" w:rsidRDefault="00491A7A" w:rsidP="00491A7A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010D9BC2" w14:textId="1ED85ACF" w:rsidR="00491A7A" w:rsidRPr="003C36AE" w:rsidRDefault="00491A7A" w:rsidP="00491A7A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3C36AE">
        <w:rPr>
          <w:sz w:val="24"/>
          <w:szCs w:val="24"/>
          <w:lang w:val="en-US"/>
          <w14:ligatures w14:val="none"/>
        </w:rPr>
        <w:t xml:space="preserve">Our </w:t>
      </w:r>
      <w:r>
        <w:rPr>
          <w:sz w:val="24"/>
          <w:szCs w:val="24"/>
          <w:lang w:val="en-US"/>
          <w14:ligatures w14:val="none"/>
        </w:rPr>
        <w:t xml:space="preserve">reading </w:t>
      </w:r>
      <w:r w:rsidRPr="003C36AE">
        <w:rPr>
          <w:sz w:val="24"/>
          <w:szCs w:val="24"/>
          <w:lang w:val="en-US"/>
          <w14:ligatures w14:val="none"/>
        </w:rPr>
        <w:t xml:space="preserve">curriculum enables children to: </w:t>
      </w:r>
    </w:p>
    <w:p w14:paraId="021D0945" w14:textId="043D3467" w:rsidR="00491A7A" w:rsidRPr="007A39A1" w:rsidRDefault="00491A7A" w:rsidP="00491A7A">
      <w:pPr>
        <w:pStyle w:val="ListParagraph"/>
        <w:widowControl w:val="0"/>
        <w:numPr>
          <w:ilvl w:val="0"/>
          <w:numId w:val="3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0" w:name="_Hlk128473198"/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Become fluent and confident readers with good comprehension skills</w:t>
      </w:r>
    </w:p>
    <w:p w14:paraId="2EF93A7D" w14:textId="222CDA6E" w:rsidR="00491A7A" w:rsidRPr="007A39A1" w:rsidRDefault="00491A7A" w:rsidP="00491A7A">
      <w:pPr>
        <w:pStyle w:val="ListParagraph"/>
        <w:widowControl w:val="0"/>
        <w:numPr>
          <w:ilvl w:val="0"/>
          <w:numId w:val="3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Learn about and from a range of texts including poetry and non-fiction</w:t>
      </w:r>
    </w:p>
    <w:p w14:paraId="2A45A902" w14:textId="31D37DFB" w:rsidR="00491A7A" w:rsidRDefault="00491A7A" w:rsidP="00491A7A">
      <w:pPr>
        <w:pStyle w:val="ListParagraph"/>
        <w:numPr>
          <w:ilvl w:val="0"/>
          <w:numId w:val="3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Develop a love of reading for pleasure</w:t>
      </w:r>
      <w:r w:rsidR="00001C7C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encourage them to become life-long readers</w:t>
      </w:r>
    </w:p>
    <w:p w14:paraId="0235BFCE" w14:textId="77777777" w:rsidR="00194D8D" w:rsidRPr="003C36AE" w:rsidRDefault="00194D8D" w:rsidP="00194D8D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3C36AE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630BEA4C" w14:textId="77777777" w:rsidR="00194D8D" w:rsidRPr="007A39A1" w:rsidRDefault="00194D8D" w:rsidP="00194D8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5B2842BF" w14:textId="77777777" w:rsidR="00194D8D" w:rsidRPr="007A39A1" w:rsidRDefault="00194D8D" w:rsidP="00194D8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329581C3" w14:textId="77777777" w:rsidR="00194D8D" w:rsidRPr="007A39A1" w:rsidRDefault="00194D8D" w:rsidP="00194D8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grow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17A343B1" w14:textId="77777777" w:rsidR="00194D8D" w:rsidRPr="00194D8D" w:rsidRDefault="00194D8D" w:rsidP="00194D8D">
      <w:pPr>
        <w:pStyle w:val="BodyText"/>
        <w:widowControl w:val="0"/>
        <w:numPr>
          <w:ilvl w:val="0"/>
          <w:numId w:val="2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Pr="002128CD">
        <w:rPr>
          <w:noProof/>
          <w:color w:val="F77732"/>
          <w:sz w:val="28"/>
          <w:szCs w:val="28"/>
          <w:u w:val="single"/>
        </w:rPr>
        <w:t xml:space="preserve"> </w:t>
      </w:r>
      <w:bookmarkEnd w:id="0"/>
    </w:p>
    <w:p w14:paraId="1E408316" w14:textId="7BAB9407" w:rsidR="0082100E" w:rsidRDefault="00491A7A" w:rsidP="0082100E">
      <w:pPr>
        <w:spacing w:after="0" w:line="256" w:lineRule="auto"/>
        <w:rPr>
          <w:color w:val="7F7F7F"/>
          <w:lang w:val="en-US"/>
        </w:rPr>
      </w:pPr>
      <w:r w:rsidRPr="00194D8D">
        <w:rPr>
          <w:color w:val="F77732"/>
          <w:sz w:val="28"/>
          <w:szCs w:val="28"/>
          <w:u w:val="single"/>
          <w:lang w:val="en-US"/>
        </w:rPr>
        <w:t xml:space="preserve">READING AT HARTHILL </w:t>
      </w:r>
      <w:r w:rsidR="0082100E" w:rsidRPr="0082100E">
        <w:rPr>
          <w:color w:val="7F7F7F"/>
          <w:lang w:val="en-US"/>
        </w:rPr>
        <w:t xml:space="preserve">Through our reading curriculum children will make progress in their reading fluency (through </w:t>
      </w:r>
      <w:r w:rsidR="0082100E">
        <w:rPr>
          <w:color w:val="7F7F7F"/>
          <w:lang w:val="en-US"/>
        </w:rPr>
        <w:t xml:space="preserve">Active Learn </w:t>
      </w:r>
      <w:r w:rsidR="0082100E" w:rsidRPr="0082100E">
        <w:rPr>
          <w:color w:val="7F7F7F"/>
          <w:lang w:val="en-US"/>
        </w:rPr>
        <w:t xml:space="preserve">phonics teaching and reading practice) and comprehension (through reading practice and whole class reading), leaving our school with the ability to read and understand a range of texts. They will be inspired to pick up both familiar and unfamiliar books and will gain knowledge of a range of fiction, non-fiction and poetry from our knowledgeable staff and high reading-profile culture. We will </w:t>
      </w:r>
      <w:proofErr w:type="spellStart"/>
      <w:r w:rsidR="0082100E" w:rsidRPr="0082100E">
        <w:rPr>
          <w:color w:val="7F7F7F"/>
          <w:lang w:val="en-US"/>
        </w:rPr>
        <w:t>instill</w:t>
      </w:r>
      <w:proofErr w:type="spellEnd"/>
      <w:r w:rsidR="0082100E" w:rsidRPr="0082100E">
        <w:rPr>
          <w:color w:val="7F7F7F"/>
          <w:lang w:val="en-US"/>
        </w:rPr>
        <w:t xml:space="preserve"> the notion that reading is a fundamental skill which will allow them to develop as learners in general, as well as sparking their imaginations and encouraging them to read as a pleasant and engaging pastime.</w:t>
      </w:r>
    </w:p>
    <w:p w14:paraId="5243DB71" w14:textId="0590C775" w:rsidR="009A724F" w:rsidRPr="003C36AE" w:rsidRDefault="009A724F" w:rsidP="0082100E">
      <w:pPr>
        <w:spacing w:after="0" w:line="256" w:lineRule="auto"/>
        <w:rPr>
          <w:color w:val="F77732"/>
          <w:sz w:val="24"/>
          <w:szCs w:val="24"/>
          <w:lang w:val="en-US"/>
        </w:rPr>
      </w:pPr>
      <w:r w:rsidRPr="003C36AE">
        <w:rPr>
          <w:color w:val="F77732"/>
          <w:sz w:val="24"/>
          <w:szCs w:val="24"/>
          <w:lang w:val="en-US"/>
        </w:rPr>
        <w:t xml:space="preserve">Our </w:t>
      </w:r>
      <w:r>
        <w:rPr>
          <w:color w:val="F77732"/>
          <w:sz w:val="24"/>
          <w:szCs w:val="24"/>
          <w:lang w:val="en-US"/>
        </w:rPr>
        <w:t>reading</w:t>
      </w:r>
      <w:r w:rsidRPr="003C36AE">
        <w:rPr>
          <w:color w:val="F77732"/>
          <w:sz w:val="24"/>
          <w:szCs w:val="24"/>
          <w:lang w:val="en-US"/>
        </w:rPr>
        <w:t xml:space="preserve"> curriculum has been designed with our children in mind to ensure it:</w:t>
      </w:r>
    </w:p>
    <w:p w14:paraId="10466980" w14:textId="77777777" w:rsidR="009A724F" w:rsidRDefault="009A724F" w:rsidP="009A724F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784A191B" w14:textId="77777777" w:rsidR="009A724F" w:rsidRDefault="009A724F" w:rsidP="009A724F">
      <w:pPr>
        <w:numPr>
          <w:ilvl w:val="0"/>
          <w:numId w:val="1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Promotes diversity through carefully selected text choices</w:t>
      </w:r>
    </w:p>
    <w:p w14:paraId="4DB21732" w14:textId="77777777" w:rsidR="009A724F" w:rsidRPr="00A7200E" w:rsidRDefault="009A724F" w:rsidP="009A724F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supports long term social mobility </w:t>
      </w:r>
    </w:p>
    <w:p w14:paraId="4430B2B4" w14:textId="77777777" w:rsidR="009A724F" w:rsidRDefault="009A724F" w:rsidP="009A724F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1B447F8E" w14:textId="5E664D0A" w:rsidR="009A724F" w:rsidRDefault="009A724F" w:rsidP="009A724F">
      <w:pPr>
        <w:numPr>
          <w:ilvl w:val="0"/>
          <w:numId w:val="1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Exposes children to texts and reading </w:t>
      </w:r>
      <w:proofErr w:type="spellStart"/>
      <w:r>
        <w:rPr>
          <w:color w:val="7F7F7F"/>
          <w:lang w:val="en-US"/>
        </w:rPr>
        <w:t>behaviours</w:t>
      </w:r>
      <w:proofErr w:type="spellEnd"/>
      <w:r>
        <w:rPr>
          <w:color w:val="7F7F7F"/>
          <w:lang w:val="en-US"/>
        </w:rPr>
        <w:t xml:space="preserve"> which they may not otherwise be exposed to</w:t>
      </w:r>
    </w:p>
    <w:p w14:paraId="15A66728" w14:textId="1829FCE0" w:rsidR="009A724F" w:rsidRDefault="009A724F" w:rsidP="009A724F">
      <w:pPr>
        <w:spacing w:after="0"/>
        <w:ind w:left="720"/>
        <w:rPr>
          <w:color w:val="7F7F7F"/>
          <w:lang w:val="en-US"/>
        </w:rPr>
      </w:pPr>
    </w:p>
    <w:p w14:paraId="577E3131" w14:textId="77777777" w:rsidR="009A724F" w:rsidRPr="008A2FA9" w:rsidRDefault="009A724F" w:rsidP="009A724F">
      <w:pPr>
        <w:spacing w:after="0"/>
        <w:rPr>
          <w:color w:val="F77732"/>
          <w:sz w:val="24"/>
          <w:szCs w:val="24"/>
          <w:lang w:val="en-US"/>
        </w:rPr>
      </w:pPr>
      <w:r w:rsidRPr="008A2FA9">
        <w:rPr>
          <w:color w:val="F77732"/>
          <w:sz w:val="24"/>
          <w:szCs w:val="24"/>
          <w:lang w:val="en-US"/>
        </w:rPr>
        <w:t>Implementation:</w:t>
      </w:r>
      <w:r w:rsidRPr="008A2FA9">
        <w:rPr>
          <w:noProof/>
          <w:sz w:val="24"/>
          <w:szCs w:val="24"/>
          <w:lang w:eastAsia="en-GB"/>
        </w:rPr>
        <w:t xml:space="preserve"> </w:t>
      </w:r>
    </w:p>
    <w:p w14:paraId="1F31FEA4" w14:textId="77777777" w:rsidR="009A724F" w:rsidRPr="00E81EAF" w:rsidRDefault="009A724F" w:rsidP="009A724F">
      <w:pPr>
        <w:spacing w:after="0"/>
        <w:rPr>
          <w:b/>
          <w:bCs/>
          <w:color w:val="7F7F7F"/>
          <w:u w:val="single"/>
          <w:lang w:val="en-US"/>
        </w:rPr>
      </w:pPr>
      <w:r>
        <w:rPr>
          <w:b/>
          <w:bCs/>
          <w:color w:val="7F7F7F"/>
          <w:u w:val="single"/>
          <w:lang w:val="en-US"/>
        </w:rPr>
        <w:t>Through our reading</w:t>
      </w:r>
      <w:r w:rsidRPr="00E81EAF">
        <w:rPr>
          <w:color w:val="7F7F7F"/>
          <w:lang w:val="en-US"/>
        </w:rPr>
        <w:t xml:space="preserve"> </w:t>
      </w:r>
      <w:r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5C02AB40" w14:textId="77777777" w:rsidR="009A724F" w:rsidRDefault="009A724F" w:rsidP="009A724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</w:t>
      </w:r>
      <w:r>
        <w:rPr>
          <w:color w:val="7F7F7F"/>
          <w:lang w:val="en-US"/>
        </w:rPr>
        <w:t xml:space="preserve">to read through a systematic synthetic phonics </w:t>
      </w:r>
      <w:proofErr w:type="spellStart"/>
      <w:r>
        <w:rPr>
          <w:color w:val="7F7F7F"/>
          <w:lang w:val="en-US"/>
        </w:rPr>
        <w:t>programme</w:t>
      </w:r>
      <w:proofErr w:type="spellEnd"/>
      <w:r>
        <w:rPr>
          <w:color w:val="7F7F7F"/>
          <w:lang w:val="en-US"/>
        </w:rPr>
        <w:t xml:space="preserve"> (Active Learn)  </w:t>
      </w:r>
    </w:p>
    <w:p w14:paraId="6D708FA3" w14:textId="77777777" w:rsidR="009A724F" w:rsidRPr="00E81EAF" w:rsidRDefault="009A724F" w:rsidP="009A724F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-have opportunity to apply their taught sounds and words through reading practice</w:t>
      </w:r>
    </w:p>
    <w:p w14:paraId="124354CE" w14:textId="77777777" w:rsidR="009A724F" w:rsidRPr="00E81EAF" w:rsidRDefault="009A724F" w:rsidP="009A724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>
        <w:rPr>
          <w:color w:val="7F7F7F"/>
          <w:lang w:val="en-US"/>
        </w:rPr>
        <w:t>ensure staff quickly identify gaps in sounds and tricky words and use 3 consistent identified interventions to address these</w:t>
      </w:r>
      <w:r w:rsidRPr="00E81EAF">
        <w:rPr>
          <w:color w:val="7F7F7F"/>
          <w:lang w:val="en-US"/>
        </w:rPr>
        <w:t xml:space="preserve"> </w:t>
      </w:r>
    </w:p>
    <w:p w14:paraId="3C192E97" w14:textId="77777777" w:rsidR="009A724F" w:rsidRPr="00E81EAF" w:rsidRDefault="009A724F" w:rsidP="009A724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>
        <w:rPr>
          <w:color w:val="7F7F7F"/>
          <w:lang w:val="en-US"/>
        </w:rPr>
        <w:t>ensure resources for reading at home are pitched to the correct level for a child’s phonological level</w:t>
      </w:r>
    </w:p>
    <w:p w14:paraId="2D1D22D6" w14:textId="77777777" w:rsidR="009A724F" w:rsidRPr="00E81EAF" w:rsidRDefault="009A724F" w:rsidP="009A724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>
        <w:rPr>
          <w:color w:val="7F7F7F"/>
          <w:lang w:val="en-US"/>
        </w:rPr>
        <w:t>teach reading prosody, fluency, vocabulary and comprehension through a whole class read approach for those children who have completed their phonics learning</w:t>
      </w:r>
    </w:p>
    <w:p w14:paraId="51CE2643" w14:textId="2F547370" w:rsidR="009A724F" w:rsidRDefault="009A724F" w:rsidP="009A724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 </w:t>
      </w:r>
      <w:r>
        <w:rPr>
          <w:color w:val="7F7F7F"/>
          <w:lang w:val="en-US"/>
        </w:rPr>
        <w:t>promote reading for pleasure through positive reading experiences, conversations and recommendations</w:t>
      </w:r>
    </w:p>
    <w:p w14:paraId="55DD5B24" w14:textId="77777777" w:rsidR="009A724F" w:rsidRPr="00E81EAF" w:rsidRDefault="009A724F" w:rsidP="009A724F">
      <w:pPr>
        <w:widowControl w:val="0"/>
        <w:spacing w:after="0"/>
        <w:rPr>
          <w:color w:val="7F7F7F"/>
          <w:lang w:val="en-US"/>
        </w:rPr>
      </w:pPr>
    </w:p>
    <w:p w14:paraId="6C9EACDB" w14:textId="77777777" w:rsidR="009A724F" w:rsidRPr="008A2FA9" w:rsidRDefault="009A724F" w:rsidP="009A724F">
      <w:pPr>
        <w:spacing w:after="0"/>
        <w:rPr>
          <w:color w:val="7F7F7F"/>
          <w:sz w:val="24"/>
          <w:szCs w:val="24"/>
          <w:lang w:val="en-US"/>
        </w:rPr>
      </w:pPr>
      <w:r w:rsidRPr="008A2FA9">
        <w:rPr>
          <w:color w:val="F77732"/>
          <w:sz w:val="24"/>
          <w:szCs w:val="24"/>
          <w:lang w:val="en-US"/>
        </w:rPr>
        <w:t>Impact:</w:t>
      </w:r>
    </w:p>
    <w:p w14:paraId="1E5A4991" w14:textId="77777777" w:rsidR="009A724F" w:rsidRPr="009A35C2" w:rsidRDefault="009A724F" w:rsidP="009A724F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9A35C2">
        <w:rPr>
          <w:b/>
          <w:bCs/>
          <w:color w:val="7F7F7F"/>
          <w:u w:val="single"/>
          <w:lang w:val="en-US"/>
        </w:rPr>
        <w:t xml:space="preserve">The impact of our </w:t>
      </w:r>
      <w:r>
        <w:rPr>
          <w:b/>
          <w:bCs/>
          <w:color w:val="7F7F7F"/>
          <w:u w:val="single"/>
          <w:lang w:val="en-US"/>
        </w:rPr>
        <w:t>reading</w:t>
      </w:r>
      <w:r w:rsidRPr="009A35C2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405795EF" w14:textId="77777777" w:rsidR="0082100E" w:rsidRPr="0082100E" w:rsidRDefault="0082100E" w:rsidP="0082100E">
      <w:pPr>
        <w:widowControl w:val="0"/>
        <w:spacing w:after="0"/>
        <w:rPr>
          <w:color w:val="7F7F7F"/>
          <w:lang w:val="en-US"/>
        </w:rPr>
      </w:pPr>
      <w:r w:rsidRPr="0082100E">
        <w:rPr>
          <w:color w:val="7F7F7F"/>
          <w:lang w:val="en-US"/>
        </w:rPr>
        <w:t>-Daily performance from pupils (listening to children read on a 1:1 or group basis, responses in reading practice, whole class reading and interventions, phonics progress, TAF evidence)</w:t>
      </w:r>
    </w:p>
    <w:p w14:paraId="7B1FCAFC" w14:textId="77777777" w:rsidR="0082100E" w:rsidRPr="0082100E" w:rsidRDefault="0082100E" w:rsidP="0082100E">
      <w:pPr>
        <w:widowControl w:val="0"/>
        <w:spacing w:after="0"/>
        <w:rPr>
          <w:color w:val="7F7F7F"/>
          <w:lang w:val="en-US"/>
        </w:rPr>
      </w:pPr>
      <w:r w:rsidRPr="0082100E">
        <w:rPr>
          <w:color w:val="7F7F7F"/>
          <w:lang w:val="en-US"/>
        </w:rPr>
        <w:t>-performance on summative assessments (SATs, phonics screening, EYFS profiles)</w:t>
      </w:r>
    </w:p>
    <w:p w14:paraId="0DBB2B99" w14:textId="77777777" w:rsidR="0082100E" w:rsidRPr="0082100E" w:rsidRDefault="0082100E" w:rsidP="0082100E">
      <w:pPr>
        <w:widowControl w:val="0"/>
        <w:spacing w:after="0"/>
        <w:rPr>
          <w:color w:val="7F7F7F"/>
          <w:lang w:val="en-US"/>
        </w:rPr>
      </w:pPr>
      <w:r w:rsidRPr="0082100E">
        <w:rPr>
          <w:color w:val="7F7F7F"/>
          <w:lang w:val="en-US"/>
        </w:rPr>
        <w:t>-pupil voice and engagement with reading for pleasure</w:t>
      </w:r>
    </w:p>
    <w:p w14:paraId="1DD6E0E3" w14:textId="77777777" w:rsidR="009A724F" w:rsidRDefault="009A724F" w:rsidP="009A724F">
      <w:pPr>
        <w:spacing w:after="0"/>
        <w:ind w:left="720"/>
        <w:rPr>
          <w:color w:val="7F7F7F"/>
          <w:lang w:val="en-US"/>
        </w:rPr>
      </w:pPr>
    </w:p>
    <w:p w14:paraId="6ABC3B82" w14:textId="77777777" w:rsidR="009A724F" w:rsidRPr="003C36AE" w:rsidRDefault="009A724F" w:rsidP="009A724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</w:p>
    <w:p w14:paraId="00E39CC0" w14:textId="3253588B" w:rsidR="00491A7A" w:rsidRDefault="00491A7A" w:rsidP="00194D8D">
      <w:pPr>
        <w:pStyle w:val="BodyText"/>
        <w:widowControl w:val="0"/>
        <w:spacing w:after="0"/>
        <w:rPr>
          <w:color w:val="F77732"/>
          <w:sz w:val="28"/>
          <w:szCs w:val="28"/>
          <w:u w:val="single"/>
          <w:lang w:val="en-US"/>
        </w:rPr>
      </w:pPr>
    </w:p>
    <w:p w14:paraId="51081F1F" w14:textId="3F9EC5EC" w:rsidR="009A724F" w:rsidRDefault="009A724F" w:rsidP="00194D8D">
      <w:pPr>
        <w:pStyle w:val="BodyText"/>
        <w:widowControl w:val="0"/>
        <w:spacing w:after="0"/>
        <w:rPr>
          <w:color w:val="F77732"/>
          <w:sz w:val="28"/>
          <w:szCs w:val="28"/>
          <w:u w:val="single"/>
          <w:lang w:val="en-US"/>
        </w:rPr>
      </w:pPr>
    </w:p>
    <w:p w14:paraId="48F6E8E1" w14:textId="4350E1F8" w:rsidR="009A724F" w:rsidRDefault="009A724F" w:rsidP="00194D8D">
      <w:pPr>
        <w:pStyle w:val="BodyText"/>
        <w:widowControl w:val="0"/>
        <w:spacing w:after="0"/>
      </w:pPr>
    </w:p>
    <w:p w14:paraId="10F9C5F5" w14:textId="77777777" w:rsidR="009A724F" w:rsidRPr="00194D8D" w:rsidRDefault="009A724F" w:rsidP="00194D8D">
      <w:pPr>
        <w:pStyle w:val="BodyText"/>
        <w:widowControl w:val="0"/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7B474700" w14:textId="5E853E21" w:rsidR="00001C7C" w:rsidRDefault="00001C7C" w:rsidP="00194D8D">
      <w:pPr>
        <w:framePr w:hSpace="180" w:wrap="around" w:vAnchor="page" w:hAnchor="margin" w:y="6577"/>
        <w:spacing w:after="0"/>
      </w:pPr>
      <w:r>
        <w:t xml:space="preserve"> </w:t>
      </w:r>
    </w:p>
    <w:p w14:paraId="5749E925" w14:textId="498214B2" w:rsidR="00194D8D" w:rsidRDefault="00194D8D" w:rsidP="00607684">
      <w:pPr>
        <w:widowControl w:val="0"/>
        <w:spacing w:after="0"/>
        <w:rPr>
          <w:color w:val="7F7F7F"/>
          <w:lang w:val="en-US"/>
        </w:rPr>
      </w:pPr>
    </w:p>
    <w:p w14:paraId="1E60CBDB" w14:textId="35781C9A" w:rsidR="00194D8D" w:rsidRPr="00194D8D" w:rsidRDefault="00194D8D" w:rsidP="00607684">
      <w:pPr>
        <w:widowControl w:val="0"/>
        <w:spacing w:after="0"/>
        <w:rPr>
          <w:b/>
          <w:bCs/>
          <w:i/>
          <w:iCs/>
        </w:rPr>
      </w:pPr>
      <w:r>
        <w:rPr>
          <w:b/>
          <w:bCs/>
          <w:i/>
          <w:iCs/>
          <w:color w:val="7F7F7F"/>
          <w:lang w:val="en-US"/>
        </w:rPr>
        <w:t xml:space="preserve">FOR A DETAILED BREAKDOWN OF THE INTENT, IMPLEMENTATION AND IMPACT OF OUR READING CURRICULUM, PLEASE SEE OUR READING CURRICULUM POLICY. </w:t>
      </w:r>
    </w:p>
    <w:sectPr w:rsidR="00194D8D" w:rsidRPr="00194D8D" w:rsidSect="002128CD">
      <w:headerReference w:type="default" r:id="rId8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7458" w14:textId="77777777" w:rsidR="00000000" w:rsidRDefault="0082100E">
      <w:pPr>
        <w:spacing w:after="0" w:line="240" w:lineRule="auto"/>
      </w:pPr>
      <w:r>
        <w:separator/>
      </w:r>
    </w:p>
  </w:endnote>
  <w:endnote w:type="continuationSeparator" w:id="0">
    <w:p w14:paraId="4521C52E" w14:textId="77777777" w:rsidR="00000000" w:rsidRDefault="0082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2744" w14:textId="77777777" w:rsidR="00000000" w:rsidRDefault="0082100E">
      <w:pPr>
        <w:spacing w:after="0" w:line="240" w:lineRule="auto"/>
      </w:pPr>
      <w:r>
        <w:separator/>
      </w:r>
    </w:p>
  </w:footnote>
  <w:footnote w:type="continuationSeparator" w:id="0">
    <w:p w14:paraId="2E8A7116" w14:textId="77777777" w:rsidR="00000000" w:rsidRDefault="0082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880C" w14:textId="77777777" w:rsidR="00481DCB" w:rsidRDefault="00194D8D" w:rsidP="00481DCB">
    <w:pPr>
      <w:widowControl w:val="0"/>
    </w:pPr>
    <w:r>
      <w:t> </w:t>
    </w:r>
  </w:p>
  <w:p w14:paraId="6BAC3216" w14:textId="77777777" w:rsidR="00481DCB" w:rsidRDefault="00821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794"/>
    <w:multiLevelType w:val="hybridMultilevel"/>
    <w:tmpl w:val="4DEEF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7A"/>
    <w:rsid w:val="00001C7C"/>
    <w:rsid w:val="00194D8D"/>
    <w:rsid w:val="00491A7A"/>
    <w:rsid w:val="00607684"/>
    <w:rsid w:val="0082100E"/>
    <w:rsid w:val="009A724F"/>
    <w:rsid w:val="00BA58AE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0C23"/>
  <w15:chartTrackingRefBased/>
  <w15:docId w15:val="{80EFD5A5-E838-4F64-8F87-67DF393C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7A"/>
  </w:style>
  <w:style w:type="paragraph" w:styleId="Heading2">
    <w:name w:val="heading 2"/>
    <w:link w:val="Heading2Char"/>
    <w:uiPriority w:val="9"/>
    <w:qFormat/>
    <w:rsid w:val="00491A7A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A7A"/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91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7A"/>
  </w:style>
  <w:style w:type="paragraph" w:styleId="BodyText">
    <w:name w:val="Body Text"/>
    <w:link w:val="BodyTextChar"/>
    <w:uiPriority w:val="99"/>
    <w:unhideWhenUsed/>
    <w:rsid w:val="00491A7A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91A7A"/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91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2</cp:revision>
  <dcterms:created xsi:type="dcterms:W3CDTF">2023-03-08T14:28:00Z</dcterms:created>
  <dcterms:modified xsi:type="dcterms:W3CDTF">2023-06-07T12:00:00Z</dcterms:modified>
</cp:coreProperties>
</file>